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667F9" w14:textId="6D80C1E7" w:rsidR="00C91A48" w:rsidRPr="000404EF" w:rsidRDefault="00C91A48" w:rsidP="00C91A48">
      <w:pPr>
        <w:pStyle w:val="3GPPHeader"/>
        <w:spacing w:after="60"/>
        <w:rPr>
          <w:lang w:val="en-US"/>
        </w:rPr>
      </w:pPr>
      <w:r w:rsidRPr="000404EF">
        <w:rPr>
          <w:lang w:val="en-US"/>
        </w:rPr>
        <w:t xml:space="preserve">3GPP TSG-RAN WG2 </w:t>
      </w:r>
      <w:r w:rsidR="00F10448">
        <w:rPr>
          <w:lang w:val="en-US"/>
        </w:rPr>
        <w:t>#97</w:t>
      </w:r>
      <w:r w:rsidR="00A76977">
        <w:rPr>
          <w:lang w:val="en-US"/>
        </w:rPr>
        <w:t>bis</w:t>
      </w:r>
      <w:r w:rsidRPr="000404EF">
        <w:rPr>
          <w:lang w:val="en-US"/>
        </w:rPr>
        <w:tab/>
        <w:t>Tdoc</w:t>
      </w:r>
      <w:r w:rsidR="00674A25" w:rsidRPr="00674A25">
        <w:t xml:space="preserve"> </w:t>
      </w:r>
      <w:bookmarkStart w:id="0" w:name="_GoBack"/>
      <w:r w:rsidR="00C47863" w:rsidRPr="00C47863">
        <w:t>R2-1703588</w:t>
      </w:r>
      <w:bookmarkEnd w:id="0"/>
    </w:p>
    <w:p w14:paraId="1E7F61F9" w14:textId="07935550" w:rsidR="00C91A48" w:rsidRDefault="00A76977" w:rsidP="00C91A48">
      <w:pPr>
        <w:pStyle w:val="3GPPHeader"/>
        <w:spacing w:after="60"/>
        <w:rPr>
          <w:b w:val="0"/>
          <w:noProof/>
        </w:rPr>
      </w:pPr>
      <w:r>
        <w:rPr>
          <w:lang w:val="en-US"/>
        </w:rPr>
        <w:t>Spokane</w:t>
      </w:r>
      <w:r w:rsidR="00C91A48" w:rsidRPr="00910EE8">
        <w:rPr>
          <w:lang w:val="en-US"/>
        </w:rPr>
        <w:t xml:space="preserve">, </w:t>
      </w:r>
      <w:r>
        <w:rPr>
          <w:lang w:val="en-US"/>
        </w:rPr>
        <w:t>USA</w:t>
      </w:r>
      <w:r w:rsidR="00C91A48" w:rsidRPr="00910EE8">
        <w:rPr>
          <w:lang w:val="en-US"/>
        </w:rPr>
        <w:t xml:space="preserve">, </w:t>
      </w:r>
      <w:r w:rsidR="00F10448">
        <w:rPr>
          <w:lang w:val="en-US"/>
        </w:rPr>
        <w:t>3</w:t>
      </w:r>
      <w:r>
        <w:rPr>
          <w:vertAlign w:val="superscript"/>
          <w:lang w:val="en-US"/>
        </w:rPr>
        <w:t>rd</w:t>
      </w:r>
      <w:r w:rsidR="00C91A48">
        <w:rPr>
          <w:lang w:val="en-US"/>
        </w:rPr>
        <w:t xml:space="preserve"> </w:t>
      </w:r>
      <w:r w:rsidR="00C91A48" w:rsidRPr="00910EE8">
        <w:rPr>
          <w:lang w:val="en-US"/>
        </w:rPr>
        <w:t xml:space="preserve">– </w:t>
      </w:r>
      <w:r w:rsidR="00F10448">
        <w:rPr>
          <w:lang w:val="en-US"/>
        </w:rPr>
        <w:t>7</w:t>
      </w:r>
      <w:r w:rsidR="00C91A48" w:rsidRPr="00910EE8">
        <w:rPr>
          <w:vertAlign w:val="superscript"/>
          <w:lang w:val="en-US"/>
        </w:rPr>
        <w:t>th</w:t>
      </w:r>
      <w:r w:rsidR="00C91A48">
        <w:rPr>
          <w:lang w:val="en-US"/>
        </w:rPr>
        <w:t xml:space="preserve"> </w:t>
      </w:r>
      <w:r>
        <w:rPr>
          <w:lang w:val="en-US"/>
        </w:rPr>
        <w:t>April</w:t>
      </w:r>
      <w:r w:rsidRPr="00910EE8">
        <w:rPr>
          <w:lang w:val="en-US"/>
        </w:rPr>
        <w:t xml:space="preserve"> </w:t>
      </w:r>
      <w:r w:rsidR="00C91A48" w:rsidRPr="00910EE8">
        <w:rPr>
          <w:lang w:val="en-US"/>
        </w:rPr>
        <w:t>2017</w:t>
      </w:r>
    </w:p>
    <w:p w14:paraId="17DE4EDF" w14:textId="77777777" w:rsidR="00C91A48" w:rsidRPr="00CE0424" w:rsidRDefault="00C91A48" w:rsidP="00C91A48">
      <w:pPr>
        <w:pStyle w:val="3GPPHeader"/>
      </w:pPr>
    </w:p>
    <w:p w14:paraId="46848A71" w14:textId="74EE656A" w:rsidR="00C91A48" w:rsidRPr="00C47863" w:rsidRDefault="00C91A48" w:rsidP="00C91A48">
      <w:pPr>
        <w:pStyle w:val="3GPPHeader"/>
        <w:rPr>
          <w:sz w:val="22"/>
          <w:szCs w:val="22"/>
          <w:lang w:val="en-US"/>
        </w:rPr>
      </w:pPr>
      <w:r w:rsidRPr="00C47863">
        <w:rPr>
          <w:sz w:val="22"/>
          <w:szCs w:val="22"/>
          <w:lang w:val="en-US"/>
        </w:rPr>
        <w:t>Agenda Item:</w:t>
      </w:r>
      <w:r w:rsidRPr="00C47863">
        <w:rPr>
          <w:sz w:val="22"/>
          <w:szCs w:val="22"/>
          <w:lang w:val="en-US"/>
        </w:rPr>
        <w:tab/>
      </w:r>
      <w:r w:rsidR="00C47863" w:rsidRPr="00C47863">
        <w:rPr>
          <w:sz w:val="22"/>
          <w:szCs w:val="22"/>
          <w:lang w:val="en-US"/>
        </w:rPr>
        <w:t>10.4.2.4</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514C7243" w:rsidR="00C91A48" w:rsidRPr="00CE0424" w:rsidRDefault="00C91A48" w:rsidP="00C91A48">
      <w:pPr>
        <w:pStyle w:val="3GPPHeader"/>
        <w:rPr>
          <w:sz w:val="22"/>
          <w:szCs w:val="22"/>
        </w:rPr>
      </w:pPr>
      <w:r>
        <w:rPr>
          <w:sz w:val="22"/>
          <w:szCs w:val="22"/>
        </w:rPr>
        <w:t>Title:</w:t>
      </w:r>
      <w:r w:rsidRPr="00CE0424">
        <w:rPr>
          <w:sz w:val="22"/>
          <w:szCs w:val="22"/>
        </w:rPr>
        <w:tab/>
      </w:r>
      <w:r>
        <w:rPr>
          <w:sz w:val="22"/>
          <w:szCs w:val="22"/>
        </w:rPr>
        <w:t>Neighbour relation establishment in NR</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3F9B9148"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radio network entities. Such relations are used to establish connections between entities, support mobility, load balancing, dual connectivity, etc., and ANR is seen as significantly reducing the planning and operation costs for operators [2]. Therefore, it is our understanding that automatic establishment of relations will continue to be</w:t>
      </w:r>
      <w:r w:rsidR="00524688">
        <w:t xml:space="preserve"> an</w:t>
      </w:r>
      <w:r w:rsidR="0055719E">
        <w:t xml:space="preserve"> important</w:t>
      </w:r>
      <w:r w:rsidR="00524688">
        <w:t xml:space="preserve"> feature</w:t>
      </w:r>
      <w:r w:rsidR="0055719E">
        <w:t xml:space="preserve"> in NR networks.</w:t>
      </w:r>
      <w:r w:rsidR="008A7912">
        <w:t xml:space="preserve"> </w:t>
      </w:r>
      <w:r w:rsidR="0055719E">
        <w:t>One can expect that the challenging NR requirements will result in an even higher emphasis on the need for seamless mobility than in legacy RATs, which further increases the importance of automatic relation establishment in NR. In addition, an extensive use of beamforming, together with a lean design of NR will bring new challenges and additional scope to the relation management.</w:t>
      </w:r>
    </w:p>
    <w:p w14:paraId="36CA38F6" w14:textId="35A5FD0A" w:rsidR="0040200D" w:rsidRDefault="0040200D" w:rsidP="0055719E">
      <w:pPr>
        <w:pStyle w:val="BodyText"/>
      </w:pPr>
      <w:r>
        <w:rPr>
          <w:noProof/>
          <w:lang w:val="en-US" w:eastAsia="en-US"/>
        </w:rPr>
        <mc:AlternateContent>
          <mc:Choice Requires="wps">
            <w:drawing>
              <wp:anchor distT="0" distB="0" distL="114300" distR="114300" simplePos="0" relativeHeight="251659264" behindDoc="0" locked="0" layoutInCell="1" allowOverlap="1" wp14:anchorId="2C2E3728" wp14:editId="11CA0D49">
                <wp:simplePos x="0" y="0"/>
                <wp:positionH relativeFrom="margin">
                  <wp:align>left</wp:align>
                </wp:positionH>
                <wp:positionV relativeFrom="paragraph">
                  <wp:posOffset>201930</wp:posOffset>
                </wp:positionV>
                <wp:extent cx="6057900" cy="1828800"/>
                <wp:effectExtent l="0" t="0" r="19050" b="14605"/>
                <wp:wrapSquare wrapText="bothSides"/>
                <wp:docPr id="3" name="Text Box 3"/>
                <wp:cNvGraphicFramePr/>
                <a:graphic xmlns:a="http://schemas.openxmlformats.org/drawingml/2006/main">
                  <a:graphicData uri="http://schemas.microsoft.com/office/word/2010/wordprocessingShape">
                    <wps:wsp>
                      <wps:cNvSpPr txBox="1"/>
                      <wps:spPr>
                        <a:xfrm>
                          <a:off x="0" y="0"/>
                          <a:ext cx="6057900" cy="1828800"/>
                        </a:xfrm>
                        <a:prstGeom prst="rect">
                          <a:avLst/>
                        </a:prstGeom>
                        <a:noFill/>
                        <a:ln w="6350">
                          <a:solidFill>
                            <a:prstClr val="black"/>
                          </a:solidFill>
                        </a:ln>
                      </wps:spPr>
                      <wps:txbx>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2E3728" id="_x0000_t202" coordsize="21600,21600" o:spt="202" path="m,l,21600r21600,l21600,xe">
                <v:stroke joinstyle="miter"/>
                <v:path gradientshapeok="t" o:connecttype="rect"/>
              </v:shapetype>
              <v:shape id="Text Box 3" o:spid="_x0000_s1026" type="#_x0000_t202" style="position:absolute;left:0;text-align:left;margin-left:0;margin-top:15.9pt;width:477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" filled="f" strokeweight=".5pt">
                <v:textbox style="mso-fit-shape-to-text:t">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v:textbox>
                <w10:wrap type="square" anchorx="margin"/>
              </v:shape>
            </w:pict>
          </mc:Fallback>
        </mc:AlternateContent>
      </w:r>
      <w:r>
        <w:t>In RAN1#88, it was agreed that;</w:t>
      </w:r>
    </w:p>
    <w:p w14:paraId="7FC049C7" w14:textId="77777777" w:rsidR="0040200D" w:rsidRDefault="0040200D" w:rsidP="00081D62">
      <w:pPr>
        <w:pStyle w:val="BodyText"/>
      </w:pPr>
    </w:p>
    <w:p w14:paraId="2B033EF7" w14:textId="394925BA" w:rsidR="007560C0" w:rsidRDefault="0040200D" w:rsidP="00081D62">
      <w:pPr>
        <w:pStyle w:val="BodyText"/>
      </w:pPr>
      <w:r>
        <w:t xml:space="preserve">In this </w:t>
      </w:r>
      <w:r w:rsidR="0055719E">
        <w:t>paper</w:t>
      </w:r>
      <w:r>
        <w:t>, further details of how the UE could aid the neighbour relation establishment process is provided and scenarios wherein the UE fails to identify a neighbouring cell is provided</w:t>
      </w:r>
      <w:r w:rsidR="0055719E">
        <w:t>.</w:t>
      </w:r>
    </w:p>
    <w:p w14:paraId="1281B722" w14:textId="16545B13" w:rsidR="006425C6" w:rsidRDefault="004000E8" w:rsidP="006425C6">
      <w:pPr>
        <w:pStyle w:val="Heading1"/>
      </w:pPr>
      <w:bookmarkStart w:id="1" w:name="_Ref178064866"/>
      <w:r w:rsidRPr="00CE0424">
        <w:t>Discussion</w:t>
      </w:r>
      <w:bookmarkEnd w:id="1"/>
    </w:p>
    <w:p w14:paraId="17147B78" w14:textId="25E57228" w:rsidR="00AA0139" w:rsidRPr="00AA0139" w:rsidRDefault="00AA0139" w:rsidP="00AC5FFA">
      <w:pPr>
        <w:pStyle w:val="Heading2"/>
      </w:pPr>
      <w:r>
        <w:t xml:space="preserve">Usage of identifiers to support </w:t>
      </w:r>
      <w:r w:rsidR="00622502">
        <w:t xml:space="preserve">IDLE RS based </w:t>
      </w:r>
      <w:r>
        <w:t>RR</w:t>
      </w:r>
      <w:r w:rsidR="00AC5FFA">
        <w:t>C</w:t>
      </w:r>
      <w:r>
        <w:t xml:space="preserve"> based mobility</w:t>
      </w:r>
      <w:r w:rsidR="00622502">
        <w:t xml:space="preserve"> and neighbour relation establishment</w:t>
      </w:r>
    </w:p>
    <w:p w14:paraId="58D13EF9" w14:textId="5BE2C1F4" w:rsidR="0055719E" w:rsidRDefault="0055719E" w:rsidP="0055719E">
      <w:pPr>
        <w:pStyle w:val="BodyText"/>
      </w:pPr>
      <w:r>
        <w:t>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ms)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1F4307ED" w:rsidR="0055719E" w:rsidRPr="00A87C47" w:rsidRDefault="0055719E" w:rsidP="0055719E">
      <w:pPr>
        <w:pStyle w:val="BodyText"/>
        <w:rPr>
          <w:b/>
        </w:rPr>
      </w:pPr>
      <w:r>
        <w:t xml:space="preserve">Once the UE perform measurements, mobility events can trigger the transmission of measurement reports. Based on these reports the serving eNB is able to identify that a given PCI belongs to a neighbour eNB in order to trigger a handover preparation procedure. In order to do that, the serving eNB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r w:rsidR="009D2B94">
        <w:t xml:space="preserve"> E-CGI is defined in LTE as a combination of PLMN ID (Combination of country code and network code) and ECI (combination of eNB ID and cell ID).</w:t>
      </w:r>
    </w:p>
    <w:p w14:paraId="292D4C8C" w14:textId="7A500616"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t xml:space="preserve">Figure </w:t>
      </w:r>
      <w:r>
        <w:rPr>
          <w:noProof/>
        </w:rPr>
        <w:t>1</w:t>
      </w:r>
      <w:r>
        <w:fldChar w:fldCharType="end"/>
      </w:r>
      <w:r>
        <w:t>. In step 1, the UE sends a measurement report to the serving eNB, containing the PCI of cell B. The eNB then instructs the UE to read the ECGI,</w:t>
      </w:r>
      <w:r w:rsidRPr="00D247FF">
        <w:t xml:space="preserve"> the TAC and all available PLMN ID(s)</w:t>
      </w:r>
      <w:r>
        <w:t xml:space="preserve"> of cell B. </w:t>
      </w:r>
      <w:r w:rsidR="009D2B94">
        <w:t xml:space="preserve">The neighbour cell broadcasts its PLMN IDs, TAC etc. in the SIB1 message. </w:t>
      </w:r>
      <w:r>
        <w:t>After measuring</w:t>
      </w:r>
      <w:r w:rsidR="009D2B94">
        <w:t xml:space="preserve"> these values</w:t>
      </w:r>
      <w:r>
        <w:t xml:space="preserve">, the UE reports the detected ECGI to the serving eNB, and the eNB decides </w:t>
      </w:r>
      <w:r w:rsidR="0069133C">
        <w:t xml:space="preserve">to add this neighbour </w:t>
      </w:r>
      <w:r w:rsidR="0069133C">
        <w:lastRenderedPageBreak/>
        <w:t>relation. The eNB can use the PCI and ECGI to lookup a transport layer address to the new eNB, update the Neighbour Relation list, and, if needed, setup a ne</w:t>
      </w:r>
      <w:r w:rsidR="004158C2">
        <w:t>w X2 interface towards this eNB</w:t>
      </w:r>
      <w:r w:rsidR="0069133C">
        <w:t xml:space="preserve"> [1]</w:t>
      </w:r>
      <w:r w:rsidR="004158C2">
        <w:t>.</w:t>
      </w:r>
    </w:p>
    <w:p w14:paraId="298AAF96" w14:textId="2C185D42" w:rsidR="0055719E" w:rsidRDefault="00D247FF" w:rsidP="004158C2">
      <w:pPr>
        <w:pStyle w:val="BodyText"/>
        <w:jc w:val="center"/>
        <w:rPr>
          <w:b/>
        </w:rPr>
      </w:pPr>
      <w:r w:rsidRPr="005132EF">
        <w:rPr>
          <w:noProof/>
          <w:lang w:val="en-US" w:eastAsia="en-US"/>
        </w:rPr>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6D3D0E07" w:rsidR="00D247FF" w:rsidRPr="004158C2" w:rsidRDefault="00D247FF" w:rsidP="004158C2">
      <w:pPr>
        <w:pStyle w:val="Caption"/>
        <w:rPr>
          <w:b w:val="0"/>
          <w:lang w:val="en-US"/>
        </w:rPr>
      </w:pPr>
      <w:bookmarkStart w:id="2" w:name="_Ref462997797"/>
      <w:r>
        <w:t xml:space="preserve">Figure </w:t>
      </w:r>
      <w:r>
        <w:fldChar w:fldCharType="begin"/>
      </w:r>
      <w:r>
        <w:instrText xml:space="preserve"> SEQ Figure \* ARABIC </w:instrText>
      </w:r>
      <w:r>
        <w:fldChar w:fldCharType="separate"/>
      </w:r>
      <w:r>
        <w:rPr>
          <w:noProof/>
        </w:rPr>
        <w:t>1</w:t>
      </w:r>
      <w:r>
        <w:fldChar w:fldCharType="end"/>
      </w:r>
      <w:bookmarkEnd w:id="2"/>
      <w:r>
        <w:t>. Automatic Neighbour Relation Function in LTE [1]</w:t>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the UE reports to the serving eNB measurement reports associated to local</w:t>
      </w:r>
      <w:r w:rsidR="00AA0139">
        <w:rPr>
          <w:b/>
        </w:rPr>
        <w:t>ly</w:t>
      </w:r>
      <w:r w:rsidRPr="00A87C47">
        <w:rPr>
          <w:b/>
        </w:rPr>
        <w:t xml:space="preserve"> unique identifiers (e.g. PCIs).</w:t>
      </w:r>
    </w:p>
    <w:p w14:paraId="7F761ED6" w14:textId="330302B8" w:rsidR="00CB27CF" w:rsidRPr="00CB27CF" w:rsidRDefault="00517DC6">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to identify the target eNB</w:t>
      </w:r>
      <w:r w:rsidR="00F67A15">
        <w:rPr>
          <w:b/>
        </w:rPr>
        <w:t xml:space="preserve"> </w:t>
      </w:r>
      <w:r w:rsidR="00A87C47" w:rsidRPr="00A87C47">
        <w:rPr>
          <w:b/>
        </w:rPr>
        <w:t>in order to send a handover preparation and/or a handover request.</w:t>
      </w:r>
    </w:p>
    <w:p w14:paraId="718A002F" w14:textId="77777777" w:rsidR="00CB27CF" w:rsidRDefault="00CB27CF" w:rsidP="00CB27CF">
      <w:pPr>
        <w:pStyle w:val="BodyText"/>
        <w:numPr>
          <w:ilvl w:val="0"/>
          <w:numId w:val="25"/>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 associated to a previously reported local identifier (PCI).</w:t>
      </w:r>
    </w:p>
    <w:p w14:paraId="1B8AE212" w14:textId="679714FC" w:rsidR="00CB27CF" w:rsidRPr="00CB27CF" w:rsidRDefault="00CB27CF">
      <w:pPr>
        <w:pStyle w:val="BodyText"/>
        <w:numPr>
          <w:ilvl w:val="0"/>
          <w:numId w:val="25"/>
        </w:numPr>
        <w:ind w:left="1560" w:hanging="1560"/>
        <w:rPr>
          <w:b/>
        </w:rPr>
      </w:pPr>
      <w:r>
        <w:rPr>
          <w:b/>
        </w:rPr>
        <w:t xml:space="preserve">In LTE, a globally unique identifier (ECGI) is broadcasted </w:t>
      </w:r>
      <w:r w:rsidR="0014650D">
        <w:rPr>
          <w:b/>
        </w:rPr>
        <w:t xml:space="preserve">in SIB1 </w:t>
      </w:r>
      <w:r>
        <w:rPr>
          <w:b/>
        </w:rPr>
        <w:t>and can be associated to a locally unique identifier (PCI).</w:t>
      </w:r>
    </w:p>
    <w:p w14:paraId="14FCF17B" w14:textId="77777777" w:rsidR="00AD1211" w:rsidRDefault="00AD1211" w:rsidP="00AD1211">
      <w:pPr>
        <w:pStyle w:val="BodyText"/>
      </w:pPr>
      <w:r>
        <w:t>In LTE, this Global ID, the ECGI, is not necessary as often as the PCI. Therefore, it is transmitted in SIB1 every 80 ms while the PCI is transmitted every 5ms.</w:t>
      </w:r>
    </w:p>
    <w:p w14:paraId="46C8C3B1" w14:textId="77777777" w:rsidR="00AD1211" w:rsidRPr="00D3176C" w:rsidRDefault="00AD1211" w:rsidP="00AD1211">
      <w:pPr>
        <w:pStyle w:val="BodyText"/>
        <w:numPr>
          <w:ilvl w:val="0"/>
          <w:numId w:val="25"/>
        </w:numPr>
        <w:ind w:left="1560" w:hanging="1560"/>
        <w:rPr>
          <w:b/>
        </w:rPr>
      </w:pPr>
      <w:r>
        <w:rPr>
          <w:b/>
        </w:rPr>
        <w:t>In LTE, a globally unique identifier (ECGI) is broadcasted with a larger periodicity than the locally unique identifier (PCI).</w:t>
      </w:r>
    </w:p>
    <w:p w14:paraId="11870336" w14:textId="5CCD9DBC" w:rsidR="007075A7" w:rsidRDefault="00A87C47" w:rsidP="00A87C47">
      <w:pPr>
        <w:pStyle w:val="BodyText"/>
      </w:pPr>
      <w:r>
        <w:t>In RAN2</w:t>
      </w:r>
      <w:r w:rsidR="00BB4C80">
        <w:t>#97</w:t>
      </w:r>
      <w:r w:rsidR="007075A7">
        <w:t xml:space="preserve"> NR meeting in </w:t>
      </w:r>
      <w:r w:rsidR="00BB4C80">
        <w:t>Athens</w:t>
      </w:r>
      <w:r>
        <w:t xml:space="preserve">, </w:t>
      </w:r>
      <w:r w:rsidR="007075A7">
        <w:t xml:space="preserve">it was noted that </w:t>
      </w:r>
      <w:r w:rsidR="00BB4C80">
        <w:t>an RRC_CONNECTED UE should be able to perform RRM measurements on IDLE RS.</w:t>
      </w:r>
      <w:r w:rsidR="007075A7">
        <w:t>.</w:t>
      </w:r>
    </w:p>
    <w:p w14:paraId="1B956E65" w14:textId="7621C890" w:rsidR="007075A7" w:rsidRDefault="007075A7" w:rsidP="00A87C47">
      <w:pPr>
        <w:pStyle w:val="BodyText"/>
      </w:pPr>
      <w:r>
        <w:rPr>
          <w:noProof/>
          <w:lang w:val="en-US" w:eastAsia="en-US"/>
        </w:rPr>
        <mc:AlternateContent>
          <mc:Choice Requires="wps">
            <w:drawing>
              <wp:anchor distT="0" distB="0" distL="114300" distR="114300" simplePos="0" relativeHeight="251657216" behindDoc="0" locked="0" layoutInCell="1" allowOverlap="1" wp14:anchorId="09182CDC" wp14:editId="3C3CED5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182CDC" id="Text Box 1" o:spid="_x0000_s1027" type="#_x0000_t202" style="position:absolute;left:0;text-align:left;margin-left:0;margin-top:0;width:2in;height:2in;z-index:251657216;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v:textbox>
                <w10:wrap type="square"/>
              </v:shape>
            </w:pict>
          </mc:Fallback>
        </mc:AlternateContent>
      </w:r>
    </w:p>
    <w:p w14:paraId="6F1873BA" w14:textId="634E3C16" w:rsidR="00BB4C80" w:rsidRDefault="00BB4C80" w:rsidP="00A87C47">
      <w:pPr>
        <w:pStyle w:val="BodyText"/>
      </w:pPr>
      <w:r>
        <w:t>Though not already decided, the RRM measurements on IDLE RSs can be expected to be reported against the corresponding PCI values that the UE has measured.</w:t>
      </w:r>
      <w:r w:rsidR="00F94784">
        <w:t xml:space="preserve"> Based on such an RRM measurement report, if the serving cell do not find the reported PCI in its neighbour relation list, then the serving cell could reuse the ECGI measurement and reporting procedure for the UE, as listed in LTE, for NR neighbour relation establishment also. </w:t>
      </w:r>
    </w:p>
    <w:p w14:paraId="5FC375ED" w14:textId="7A925199" w:rsidR="00E4782A" w:rsidRPr="003065F6" w:rsidRDefault="00BB4C80">
      <w:pPr>
        <w:pStyle w:val="BodyText"/>
        <w:numPr>
          <w:ilvl w:val="0"/>
          <w:numId w:val="25"/>
        </w:numPr>
        <w:ind w:left="1560" w:hanging="1560"/>
        <w:rPr>
          <w:b/>
        </w:rPr>
      </w:pPr>
      <w:r>
        <w:rPr>
          <w:b/>
        </w:rPr>
        <w:t>The RRM measurements on IDLE RSs are expected to be reported as per the measured PCI values by the UE</w:t>
      </w:r>
      <w:r w:rsidRPr="00A87C47">
        <w:rPr>
          <w:b/>
        </w:rPr>
        <w:t>.</w:t>
      </w:r>
    </w:p>
    <w:p w14:paraId="56F8416F" w14:textId="6D835BFE" w:rsidR="00F94784" w:rsidRDefault="00F94784" w:rsidP="00F94784">
      <w:pPr>
        <w:pStyle w:val="BodyText"/>
        <w:numPr>
          <w:ilvl w:val="0"/>
          <w:numId w:val="25"/>
        </w:numPr>
        <w:ind w:left="1560" w:hanging="1560"/>
        <w:rPr>
          <w:b/>
        </w:rPr>
      </w:pPr>
      <w:r>
        <w:rPr>
          <w:b/>
        </w:rPr>
        <w:t>The neighbour relation establishment procedure based on the UE reporting the ECGI of the unknown cell as listed in LTE can be re-used for NR also</w:t>
      </w:r>
      <w:r w:rsidRPr="00A87C47">
        <w:rPr>
          <w:b/>
        </w:rPr>
        <w:t>.</w:t>
      </w:r>
    </w:p>
    <w:p w14:paraId="636D02DA" w14:textId="69202044" w:rsidR="0014650D" w:rsidRPr="00C47863" w:rsidRDefault="0014650D" w:rsidP="00C47863">
      <w:pPr>
        <w:pStyle w:val="BodyText"/>
      </w:pPr>
      <w:r w:rsidRPr="00C47863">
        <w:t>It is our understanding that the</w:t>
      </w:r>
      <w:r>
        <w:t xml:space="preserve"> information required to derive the ECGI (PLMN ID and the CellIdentity)</w:t>
      </w:r>
      <w:r w:rsidRPr="002176CE">
        <w:t xml:space="preserve"> </w:t>
      </w:r>
      <w:r>
        <w:t>are provided in NR as part of the SIB1 message as well.</w:t>
      </w:r>
      <w:r w:rsidRPr="002176CE">
        <w:t xml:space="preserve"> </w:t>
      </w:r>
    </w:p>
    <w:p w14:paraId="3F301E13" w14:textId="2084E518" w:rsidR="0014650D" w:rsidRDefault="0014650D" w:rsidP="00F94784">
      <w:pPr>
        <w:pStyle w:val="BodyText"/>
        <w:numPr>
          <w:ilvl w:val="0"/>
          <w:numId w:val="25"/>
        </w:numPr>
        <w:ind w:left="1560" w:hanging="1560"/>
        <w:rPr>
          <w:b/>
        </w:rPr>
      </w:pPr>
      <w:r>
        <w:rPr>
          <w:b/>
        </w:rPr>
        <w:t xml:space="preserve">The information elements </w:t>
      </w:r>
      <w:r w:rsidRPr="00C47863">
        <w:rPr>
          <w:b/>
        </w:rPr>
        <w:t>required to derive the ECGI (PLMN ID and the Cell</w:t>
      </w:r>
      <w:r w:rsidR="00B170AB">
        <w:rPr>
          <w:b/>
        </w:rPr>
        <w:t xml:space="preserve"> </w:t>
      </w:r>
      <w:r w:rsidRPr="00C47863">
        <w:rPr>
          <w:b/>
        </w:rPr>
        <w:t xml:space="preserve">Identity) are provided in NR as </w:t>
      </w:r>
      <w:r>
        <w:rPr>
          <w:b/>
        </w:rPr>
        <w:t xml:space="preserve">expected to be </w:t>
      </w:r>
      <w:r w:rsidRPr="00C47863">
        <w:rPr>
          <w:b/>
        </w:rPr>
        <w:t>part of the SIB1 message</w:t>
      </w:r>
      <w:r>
        <w:rPr>
          <w:b/>
        </w:rPr>
        <w:t xml:space="preserve">.  </w:t>
      </w:r>
    </w:p>
    <w:p w14:paraId="369E2E06" w14:textId="38417BD3" w:rsidR="00F94784" w:rsidRPr="008B6D83" w:rsidRDefault="00F94784" w:rsidP="00F94784">
      <w:pPr>
        <w:pStyle w:val="Proposal"/>
      </w:pPr>
      <w:r>
        <w:rPr>
          <w:lang w:val="en-US"/>
        </w:rPr>
        <w:lastRenderedPageBreak/>
        <w:t xml:space="preserve">As in LTE for the ECGI reading and reporting procedure, a UE in NR should be able to read and report the neighboring cell’s </w:t>
      </w:r>
      <w:r w:rsidR="00B87CD8">
        <w:rPr>
          <w:lang w:val="en-US"/>
        </w:rPr>
        <w:t>ECGI</w:t>
      </w:r>
      <w:r w:rsidR="00F97F0A">
        <w:rPr>
          <w:lang w:val="en-US"/>
        </w:rPr>
        <w:t xml:space="preserve"> to aid neighbor relation establishment procedure in NR</w:t>
      </w:r>
      <w:r>
        <w:rPr>
          <w:lang w:val="en-US"/>
        </w:rPr>
        <w:t>.</w:t>
      </w:r>
    </w:p>
    <w:p w14:paraId="6DAAF8C8" w14:textId="77777777" w:rsidR="00C01F33" w:rsidRDefault="00C01F33" w:rsidP="00CE0424">
      <w:pPr>
        <w:pStyle w:val="Heading1"/>
      </w:pPr>
      <w:r w:rsidRPr="00CE0424">
        <w:t>Conclusion</w:t>
      </w:r>
    </w:p>
    <w:p w14:paraId="280A0126" w14:textId="6532A2B1" w:rsidR="004158C2" w:rsidRPr="004158C2" w:rsidRDefault="004158C2" w:rsidP="00C47863">
      <w:pPr>
        <w:pStyle w:val="BodyText"/>
        <w:rPr>
          <w:b/>
        </w:rPr>
      </w:pPr>
      <w:r>
        <w:t>In the previous section, the following has been observed:</w:t>
      </w:r>
    </w:p>
    <w:p w14:paraId="28075D13" w14:textId="77777777" w:rsidR="00563637" w:rsidRPr="00A87C47" w:rsidRDefault="00563637" w:rsidP="00563637">
      <w:pPr>
        <w:rPr>
          <w:b/>
        </w:rPr>
      </w:pPr>
    </w:p>
    <w:p w14:paraId="3D8A6184" w14:textId="77777777" w:rsidR="00563637" w:rsidRDefault="00563637" w:rsidP="00C47863">
      <w:pPr>
        <w:pStyle w:val="BodyText"/>
        <w:numPr>
          <w:ilvl w:val="0"/>
          <w:numId w:val="40"/>
        </w:numPr>
        <w:rPr>
          <w:b/>
        </w:rPr>
      </w:pPr>
      <w:r w:rsidRPr="00A87C47">
        <w:rPr>
          <w:b/>
        </w:rPr>
        <w:t>In LTE, the UE reports to the serving eNB measurement reports associated to local</w:t>
      </w:r>
      <w:r>
        <w:rPr>
          <w:b/>
        </w:rPr>
        <w:t>ly</w:t>
      </w:r>
      <w:r w:rsidRPr="00A87C47">
        <w:rPr>
          <w:b/>
        </w:rPr>
        <w:t xml:space="preserve"> unique identifiers (e.g. PCIs).</w:t>
      </w:r>
    </w:p>
    <w:p w14:paraId="00CBE6F7" w14:textId="77777777" w:rsidR="00563637" w:rsidRPr="00CB27CF" w:rsidRDefault="00563637" w:rsidP="00C47863">
      <w:pPr>
        <w:pStyle w:val="BodyText"/>
        <w:numPr>
          <w:ilvl w:val="0"/>
          <w:numId w:val="40"/>
        </w:numPr>
        <w:ind w:left="1560" w:hanging="1560"/>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eNB </w:t>
      </w:r>
      <w:r w:rsidRPr="00A87C47">
        <w:rPr>
          <w:b/>
        </w:rPr>
        <w:t>in order to send a handover preparation and/or a handover request.</w:t>
      </w:r>
    </w:p>
    <w:p w14:paraId="29683553" w14:textId="77777777" w:rsidR="00563637" w:rsidRDefault="00563637" w:rsidP="00C47863">
      <w:pPr>
        <w:pStyle w:val="BodyText"/>
        <w:numPr>
          <w:ilvl w:val="0"/>
          <w:numId w:val="40"/>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 associated to a previously reported local identifier (PCI).</w:t>
      </w:r>
    </w:p>
    <w:p w14:paraId="175B8BBF" w14:textId="2ECC883E" w:rsidR="00563637" w:rsidRPr="00C47863" w:rsidRDefault="00563637" w:rsidP="00C47863">
      <w:pPr>
        <w:pStyle w:val="BodyText"/>
        <w:numPr>
          <w:ilvl w:val="0"/>
          <w:numId w:val="40"/>
        </w:numPr>
        <w:ind w:left="1560" w:hanging="1560"/>
        <w:rPr>
          <w:b/>
        </w:rPr>
      </w:pPr>
      <w:r>
        <w:rPr>
          <w:b/>
        </w:rPr>
        <w:t>In LTE, a globally unique identifier (ECGI) is broadcasted in SIB1 and can be associated to a locally unique identifier (PCI).</w:t>
      </w:r>
    </w:p>
    <w:p w14:paraId="2E0CE4AC" w14:textId="13DBF07D" w:rsidR="00563637" w:rsidRPr="00D3176C" w:rsidRDefault="00563637" w:rsidP="00C47863">
      <w:pPr>
        <w:pStyle w:val="BodyText"/>
        <w:numPr>
          <w:ilvl w:val="0"/>
          <w:numId w:val="40"/>
        </w:numPr>
        <w:rPr>
          <w:b/>
        </w:rPr>
      </w:pPr>
      <w:r>
        <w:rPr>
          <w:b/>
        </w:rPr>
        <w:t>In LTE, a globally unique identifier (ECGI) is broadcasted with a larger periodicity than the locally unique identifier (PCI).</w:t>
      </w:r>
    </w:p>
    <w:p w14:paraId="04B6C4A8" w14:textId="77777777" w:rsidR="00563637" w:rsidRPr="003065F6" w:rsidRDefault="00563637" w:rsidP="00563637">
      <w:pPr>
        <w:pStyle w:val="BodyText"/>
        <w:numPr>
          <w:ilvl w:val="0"/>
          <w:numId w:val="40"/>
        </w:numPr>
        <w:rPr>
          <w:b/>
        </w:rPr>
      </w:pPr>
      <w:r>
        <w:rPr>
          <w:b/>
        </w:rPr>
        <w:t>The RRM measurements on IDLE RSs are expected to be reported as per the measured PCI values by the UE</w:t>
      </w:r>
      <w:r w:rsidRPr="00A87C47">
        <w:rPr>
          <w:b/>
        </w:rPr>
        <w:t>.</w:t>
      </w:r>
    </w:p>
    <w:p w14:paraId="72A317E0" w14:textId="77777777" w:rsidR="00563637" w:rsidRDefault="00563637" w:rsidP="00563637">
      <w:pPr>
        <w:pStyle w:val="BodyText"/>
        <w:numPr>
          <w:ilvl w:val="0"/>
          <w:numId w:val="40"/>
        </w:numPr>
        <w:rPr>
          <w:b/>
        </w:rPr>
      </w:pPr>
      <w:r>
        <w:rPr>
          <w:b/>
        </w:rPr>
        <w:t>The neighbour relation establishment procedure based on the UE reporting the ECGI of the unknown cell as listed in LTE can be re-used for NR also</w:t>
      </w:r>
      <w:r w:rsidRPr="00A87C47">
        <w:rPr>
          <w:b/>
        </w:rPr>
        <w:t>.</w:t>
      </w:r>
    </w:p>
    <w:p w14:paraId="3E6329DA" w14:textId="77777777" w:rsidR="00563637" w:rsidRDefault="00563637" w:rsidP="00563637">
      <w:pPr>
        <w:pStyle w:val="BodyText"/>
        <w:numPr>
          <w:ilvl w:val="0"/>
          <w:numId w:val="40"/>
        </w:numPr>
        <w:rPr>
          <w:b/>
        </w:rPr>
      </w:pPr>
      <w:r>
        <w:rPr>
          <w:b/>
        </w:rPr>
        <w:t xml:space="preserve">The information elements </w:t>
      </w:r>
      <w:r w:rsidRPr="007F40C8">
        <w:rPr>
          <w:b/>
        </w:rPr>
        <w:t>required to derive the ECGI (PLMN ID and the Cell</w:t>
      </w:r>
      <w:r>
        <w:rPr>
          <w:b/>
        </w:rPr>
        <w:t xml:space="preserve"> </w:t>
      </w:r>
      <w:r w:rsidRPr="007F40C8">
        <w:rPr>
          <w:b/>
        </w:rPr>
        <w:t xml:space="preserve">Identity) are provided in NR as </w:t>
      </w:r>
      <w:r>
        <w:rPr>
          <w:b/>
        </w:rPr>
        <w:t xml:space="preserve">expected to be </w:t>
      </w:r>
      <w:r w:rsidRPr="007F40C8">
        <w:rPr>
          <w:b/>
        </w:rPr>
        <w:t>part of the SIB1 message</w:t>
      </w:r>
      <w:r>
        <w:rPr>
          <w:b/>
        </w:rPr>
        <w:t xml:space="preserve">.  </w:t>
      </w:r>
    </w:p>
    <w:p w14:paraId="7D2B22A8" w14:textId="77777777" w:rsidR="004158C2" w:rsidRDefault="004158C2" w:rsidP="004158C2">
      <w:pPr>
        <w:pStyle w:val="BodyText"/>
      </w:pPr>
    </w:p>
    <w:p w14:paraId="16745B98" w14:textId="348435F8" w:rsidR="004158C2" w:rsidRDefault="004158C2" w:rsidP="004158C2">
      <w:pPr>
        <w:pStyle w:val="BodyText"/>
      </w:pPr>
      <w:r>
        <w:t>Based on these observations, we have proposed the following:</w:t>
      </w:r>
    </w:p>
    <w:p w14:paraId="610AAA53" w14:textId="77777777" w:rsidR="00563637" w:rsidRPr="008B6D83" w:rsidRDefault="00563637" w:rsidP="00C47863">
      <w:pPr>
        <w:pStyle w:val="Proposal"/>
        <w:numPr>
          <w:ilvl w:val="0"/>
          <w:numId w:val="41"/>
        </w:numPr>
      </w:pPr>
      <w:r w:rsidRPr="00563637">
        <w:rPr>
          <w:lang w:val="en-US"/>
        </w:rPr>
        <w:t>As in LTE for the ECGI reading and reporting procedure, a UE in NR should be able to read and report the neighboring cell’s ECGI to aid neighbor relation establishment procedure in NR.</w:t>
      </w:r>
    </w:p>
    <w:p w14:paraId="4F1738F2" w14:textId="77777777" w:rsidR="00563637" w:rsidRDefault="00563637" w:rsidP="004158C2">
      <w:pPr>
        <w:pStyle w:val="BodyText"/>
      </w:pPr>
    </w:p>
    <w:p w14:paraId="4F3D1ECA" w14:textId="77777777" w:rsidR="00F507D1" w:rsidRPr="00CE0424" w:rsidRDefault="00F507D1" w:rsidP="00CE0424">
      <w:pPr>
        <w:pStyle w:val="Heading1"/>
      </w:pPr>
      <w:bookmarkStart w:id="3" w:name="_In-sequence_SDU_delivery"/>
      <w:bookmarkEnd w:id="3"/>
      <w:r w:rsidRPr="00CE0424">
        <w:t>References</w:t>
      </w:r>
    </w:p>
    <w:p w14:paraId="77132D2E" w14:textId="77777777" w:rsidR="00081D62" w:rsidRPr="00313D3B" w:rsidRDefault="00081D62" w:rsidP="00081D62">
      <w:pPr>
        <w:pStyle w:val="Reference"/>
        <w:rPr>
          <w:rFonts w:cs="Arial"/>
        </w:rPr>
      </w:pPr>
      <w:bookmarkStart w:id="4" w:name="_Ref456254943"/>
      <w:bookmarkStart w:id="5" w:name="_Ref456256904"/>
      <w:bookmarkStart w:id="6" w:name="_Ref455126129"/>
      <w:bookmarkStart w:id="7" w:name="_Ref174151459"/>
      <w:bookmarkStart w:id="8" w:name="_Ref189809556"/>
      <w:bookmarkStart w:id="9" w:name="_Ref458687908"/>
      <w:r w:rsidRPr="00313D3B">
        <w:t>3GPP TS 36.300</w:t>
      </w:r>
      <w:r>
        <w:t xml:space="preserve"> V13.4.0 (2016-06), “Evolved Universal Terrestrial Radio Access (E-UTRA) and Evolved Universal Terrestrial Radio Access Network (E-UTRAN); Overall description”</w:t>
      </w:r>
      <w:bookmarkEnd w:id="4"/>
      <w:bookmarkEnd w:id="5"/>
    </w:p>
    <w:p w14:paraId="0B8BECB2" w14:textId="57C557C5" w:rsidR="008B6D83" w:rsidRPr="00010E3F" w:rsidRDefault="00081D62" w:rsidP="00010E3F">
      <w:pPr>
        <w:pStyle w:val="Reference"/>
        <w:spacing w:line="276" w:lineRule="auto"/>
        <w:rPr>
          <w:rFonts w:cs="Arial"/>
        </w:rPr>
      </w:pPr>
      <w:bookmarkStart w:id="10" w:name="_Ref456255044"/>
      <w:r w:rsidRPr="00313D3B">
        <w:rPr>
          <w:rFonts w:cs="Arial"/>
        </w:rPr>
        <w:t>A. Dahlén, A. Johansson, F. Gunnarsson, J. Moe, T. Rimhagen, H. Kallin, ”Evaluations of LTE Automatic Neighbor Relations”, in Proc. IWSON at VTC Spring, Budapest, Hungary, 2011.</w:t>
      </w:r>
      <w:bookmarkEnd w:id="6"/>
      <w:bookmarkEnd w:id="7"/>
      <w:bookmarkEnd w:id="8"/>
      <w:bookmarkEnd w:id="9"/>
      <w:bookmarkEnd w:id="10"/>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A2BE2" w14:textId="77777777" w:rsidR="00932CDA" w:rsidRDefault="00932CDA">
      <w:r>
        <w:separator/>
      </w:r>
    </w:p>
  </w:endnote>
  <w:endnote w:type="continuationSeparator" w:id="0">
    <w:p w14:paraId="4EE654B5" w14:textId="77777777" w:rsidR="00932CDA" w:rsidRDefault="0093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3D6479D6"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78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786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33CA1" w14:textId="77777777" w:rsidR="00932CDA" w:rsidRDefault="00932CDA">
      <w:r>
        <w:separator/>
      </w:r>
    </w:p>
  </w:footnote>
  <w:footnote w:type="continuationSeparator" w:id="0">
    <w:p w14:paraId="5A49215D" w14:textId="77777777" w:rsidR="00932CDA" w:rsidRDefault="00932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7"/>
  </w:num>
  <w:num w:numId="4">
    <w:abstractNumId w:val="20"/>
  </w:num>
  <w:num w:numId="5">
    <w:abstractNumId w:val="14"/>
  </w:num>
  <w:num w:numId="6">
    <w:abstractNumId w:val="22"/>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5"/>
  </w:num>
  <w:num w:numId="17">
    <w:abstractNumId w:val="27"/>
  </w:num>
  <w:num w:numId="18">
    <w:abstractNumId w:val="12"/>
  </w:num>
  <w:num w:numId="19">
    <w:abstractNumId w:val="17"/>
  </w:num>
  <w:num w:numId="20">
    <w:abstractNumId w:val="32"/>
  </w:num>
  <w:num w:numId="21">
    <w:abstractNumId w:val="5"/>
  </w:num>
  <w:num w:numId="22">
    <w:abstractNumId w:val="36"/>
  </w:num>
  <w:num w:numId="23">
    <w:abstractNumId w:val="34"/>
  </w:num>
  <w:num w:numId="24">
    <w:abstractNumId w:val="10"/>
  </w:num>
  <w:num w:numId="25">
    <w:abstractNumId w:val="33"/>
  </w:num>
  <w:num w:numId="26">
    <w:abstractNumId w:val="17"/>
    <w:lvlOverride w:ilvl="0">
      <w:startOverride w:val="1"/>
    </w:lvlOverride>
  </w:num>
  <w:num w:numId="27">
    <w:abstractNumId w:val="30"/>
  </w:num>
  <w:num w:numId="28">
    <w:abstractNumId w:val="19"/>
  </w:num>
  <w:num w:numId="29">
    <w:abstractNumId w:val="21"/>
  </w:num>
  <w:num w:numId="30">
    <w:abstractNumId w:val="11"/>
  </w:num>
  <w:num w:numId="31">
    <w:abstractNumId w:val="23"/>
  </w:num>
  <w:num w:numId="32">
    <w:abstractNumId w:val="4"/>
  </w:num>
  <w:num w:numId="33">
    <w:abstractNumId w:val="24"/>
  </w:num>
  <w:num w:numId="34">
    <w:abstractNumId w:val="9"/>
  </w:num>
  <w:num w:numId="35">
    <w:abstractNumId w:val="7"/>
  </w:num>
  <w:num w:numId="36">
    <w:abstractNumId w:val="18"/>
  </w:num>
  <w:num w:numId="37">
    <w:abstractNumId w:val="17"/>
    <w:lvlOverride w:ilvl="0">
      <w:startOverride w:val="1"/>
    </w:lvlOverride>
  </w:num>
  <w:num w:numId="38">
    <w:abstractNumId w:val="28"/>
  </w:num>
  <w:num w:numId="39">
    <w:abstractNumId w:val="8"/>
  </w:num>
  <w:num w:numId="40">
    <w:abstractNumId w:val="31"/>
  </w:num>
  <w:num w:numId="41">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7F1E"/>
    <w:rsid w:val="00370E47"/>
    <w:rsid w:val="003742AC"/>
    <w:rsid w:val="00377CE1"/>
    <w:rsid w:val="003806FB"/>
    <w:rsid w:val="00385BF0"/>
    <w:rsid w:val="003939FF"/>
    <w:rsid w:val="003A2223"/>
    <w:rsid w:val="003A2A0F"/>
    <w:rsid w:val="003A45A1"/>
    <w:rsid w:val="003A5B0A"/>
    <w:rsid w:val="003A6BAC"/>
    <w:rsid w:val="003A7EF3"/>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5EC9"/>
    <w:rsid w:val="006C6059"/>
    <w:rsid w:val="006C7391"/>
    <w:rsid w:val="006C7522"/>
    <w:rsid w:val="006D6F08"/>
    <w:rsid w:val="006E062C"/>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344F"/>
    <w:rsid w:val="00A048A8"/>
    <w:rsid w:val="00A04F49"/>
    <w:rsid w:val="00A078FE"/>
    <w:rsid w:val="00A13E54"/>
    <w:rsid w:val="00A14B31"/>
    <w:rsid w:val="00A17094"/>
    <w:rsid w:val="00A17F63"/>
    <w:rsid w:val="00A2193B"/>
    <w:rsid w:val="00A2351A"/>
    <w:rsid w:val="00A264A9"/>
    <w:rsid w:val="00A26831"/>
    <w:rsid w:val="00A27785"/>
    <w:rsid w:val="00A30187"/>
    <w:rsid w:val="00A30A42"/>
    <w:rsid w:val="00A3448A"/>
    <w:rsid w:val="00A34CCD"/>
    <w:rsid w:val="00A36297"/>
    <w:rsid w:val="00A41E2B"/>
    <w:rsid w:val="00A45B74"/>
    <w:rsid w:val="00A52E1D"/>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6045F"/>
    <w:rsid w:val="00B62AAA"/>
    <w:rsid w:val="00B664C7"/>
    <w:rsid w:val="00B66689"/>
    <w:rsid w:val="00B70298"/>
    <w:rsid w:val="00B7155D"/>
    <w:rsid w:val="00B739F6"/>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47863"/>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9027A"/>
    <w:rsid w:val="00C9068E"/>
    <w:rsid w:val="00C91811"/>
    <w:rsid w:val="00C91A48"/>
    <w:rsid w:val="00C93C4B"/>
    <w:rsid w:val="00C944AB"/>
    <w:rsid w:val="00C9566F"/>
    <w:rsid w:val="00C95B40"/>
    <w:rsid w:val="00CA1ED8"/>
    <w:rsid w:val="00CA3F64"/>
    <w:rsid w:val="00CB1F63"/>
    <w:rsid w:val="00CB27CF"/>
    <w:rsid w:val="00CB7170"/>
    <w:rsid w:val="00CC040E"/>
    <w:rsid w:val="00CC111F"/>
    <w:rsid w:val="00CC2011"/>
    <w:rsid w:val="00CC3EA0"/>
    <w:rsid w:val="00CC7B45"/>
    <w:rsid w:val="00CD1188"/>
    <w:rsid w:val="00CD2ED1"/>
    <w:rsid w:val="00CD337B"/>
    <w:rsid w:val="00CE0424"/>
    <w:rsid w:val="00CE7561"/>
    <w:rsid w:val="00CE7603"/>
    <w:rsid w:val="00CF1354"/>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39D5"/>
    <w:rsid w:val="00DD739C"/>
    <w:rsid w:val="00DE18FE"/>
    <w:rsid w:val="00DE4478"/>
    <w:rsid w:val="00DE5608"/>
    <w:rsid w:val="00DE58D0"/>
    <w:rsid w:val="00DE5C7E"/>
    <w:rsid w:val="00DE654F"/>
    <w:rsid w:val="00DF0B6E"/>
    <w:rsid w:val="00DF15E0"/>
    <w:rsid w:val="00DF37A0"/>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5NUHHDQN7SK2-1-114275</_dlc_DocId>
    <TaxCatchAll xmlns="08b2df90-05d3-4030-90d4-c9feeb4a1cd9">
      <Value>10</Value>
      <Value>9</Value>
      <Value>8</Value>
      <Value>3</Value>
      <Value>1</Value>
    </TaxCatchAll>
    <_dlc_DocIdUrl xmlns="08b2df90-05d3-4030-90d4-c9feeb4a1cd9">
      <Url>https://ericoll.internal.ericsson.com/sites/STAR/_layouts/DocIdRedir.aspx?ID=5NUHHDQN7SK2-1-114275</Url>
      <Description>5NUHHDQN7SK2-1-114275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2.xml><?xml version="1.0" encoding="utf-8"?>
<ds:datastoreItem xmlns:ds="http://schemas.openxmlformats.org/officeDocument/2006/customXml" ds:itemID="{96CEE06E-466E-406D-A8DB-B7486FADF859}">
  <ds:schemaRefs>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schemas.microsoft.com/sharepoint/v4"/>
    <ds:schemaRef ds:uri="http://purl.org/dc/elements/1.1/"/>
    <ds:schemaRef ds:uri="7789c8df-cd92-43c1-8a83-195dbc0f0a0a"/>
    <ds:schemaRef ds:uri="08b2df90-05d3-4030-90d4-c9feeb4a1cd9"/>
  </ds:schemaRefs>
</ds:datastoreItem>
</file>

<file path=customXml/itemProps3.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5.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6.xml><?xml version="1.0" encoding="utf-8"?>
<ds:datastoreItem xmlns:ds="http://schemas.openxmlformats.org/officeDocument/2006/customXml" ds:itemID="{347FE103-3278-4329-A786-4528F0138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3</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ERICSSON</cp:lastModifiedBy>
  <cp:revision>2</cp:revision>
  <cp:lastPrinted>2016-08-03T08:58:00Z</cp:lastPrinted>
  <dcterms:created xsi:type="dcterms:W3CDTF">2017-03-25T00:34:00Z</dcterms:created>
  <dcterms:modified xsi:type="dcterms:W3CDTF">2017-03-25T00:34:00Z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27fb8626-a10d-4ebc-83f9-dfea1a182e3e</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